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210" w:rsidRPr="0024552D" w:rsidRDefault="001A0210" w:rsidP="001A0210">
      <w:pPr>
        <w:shd w:val="clear" w:color="auto" w:fill="FFFFFF"/>
        <w:spacing w:after="0" w:line="240" w:lineRule="auto"/>
        <w:ind w:left="-567" w:firstLine="568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552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Звіт по Програмі</w:t>
      </w:r>
    </w:p>
    <w:p w:rsidR="001A0210" w:rsidRPr="00211CC8" w:rsidRDefault="001A0210" w:rsidP="00211CC8">
      <w:pPr>
        <w:shd w:val="clear" w:color="auto" w:fill="FFFFFF"/>
        <w:spacing w:after="0" w:line="240" w:lineRule="auto"/>
        <w:ind w:left="-567" w:firstLine="568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552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«Розвиток людського капіталу  </w:t>
      </w:r>
      <w:proofErr w:type="spellStart"/>
      <w:r w:rsidRPr="0024552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Музиківської</w:t>
      </w:r>
      <w:proofErr w:type="spellEnd"/>
      <w:r w:rsidR="00DC40C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11CC8">
        <w:rPr>
          <w:rFonts w:ascii="Times New Roman" w:hAnsi="Times New Roman"/>
          <w:b/>
          <w:sz w:val="28"/>
          <w:szCs w:val="28"/>
          <w:lang w:val="uk-UA"/>
        </w:rPr>
        <w:t xml:space="preserve">сільської територіальної </w:t>
      </w:r>
      <w:r w:rsidR="00DC40C9">
        <w:rPr>
          <w:rFonts w:ascii="Times New Roman" w:hAnsi="Times New Roman"/>
          <w:b/>
          <w:sz w:val="28"/>
          <w:szCs w:val="28"/>
          <w:lang w:val="uk-UA"/>
        </w:rPr>
        <w:t>громади</w:t>
      </w:r>
      <w:r w:rsidRPr="0024552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  <w:r w:rsidRPr="002455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B15EE8">
        <w:rPr>
          <w:rFonts w:ascii="Times New Roman" w:hAnsi="Times New Roman"/>
          <w:b/>
          <w:bCs/>
          <w:sz w:val="28"/>
          <w:szCs w:val="28"/>
          <w:lang w:val="uk-UA"/>
        </w:rPr>
        <w:t>з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 w:rsidR="00B15EE8">
        <w:rPr>
          <w:rFonts w:ascii="Times New Roman" w:hAnsi="Times New Roman"/>
          <w:b/>
          <w:bCs/>
          <w:sz w:val="28"/>
          <w:szCs w:val="28"/>
          <w:lang w:val="uk-UA"/>
        </w:rPr>
        <w:t xml:space="preserve"> І квартал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15EE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2021</w:t>
      </w:r>
      <w:r w:rsidRPr="0024552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ріку.</w:t>
      </w:r>
    </w:p>
    <w:p w:rsidR="001A0210" w:rsidRDefault="001A0210" w:rsidP="00656F65">
      <w:pPr>
        <w:spacing w:after="0" w:line="240" w:lineRule="auto"/>
        <w:ind w:left="-567" w:firstLine="99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3789B" w:rsidRPr="00656F65" w:rsidRDefault="00B3789B" w:rsidP="00656F65">
      <w:pPr>
        <w:spacing w:after="0" w:line="240" w:lineRule="auto"/>
        <w:ind w:left="-567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56F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сьогодні розвиток людського капіталу стає стратегічною ціллю. Створення умов для розвитку людського капіталу передбачає доступну освіту,  здатну забезпечити підготовку кадрів для ринку праці Херсонщини та самих кадрів соціальними гарантіями. </w:t>
      </w:r>
    </w:p>
    <w:p w:rsidR="00B3789B" w:rsidRPr="00656F65" w:rsidRDefault="00B3789B" w:rsidP="00656F65">
      <w:pPr>
        <w:spacing w:after="0" w:line="240" w:lineRule="auto"/>
        <w:ind w:left="-567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56F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Саме на формування людського капіталу, його розвиток, а також розвиток регіональної вищої освіти та забезпечення її кваліфікованими фахівцями і кадрами спрямована Програма.</w:t>
      </w:r>
    </w:p>
    <w:p w:rsidR="00DC40C9" w:rsidRDefault="00B3789B" w:rsidP="00DC40C9">
      <w:pPr>
        <w:ind w:left="-567" w:firstLine="99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56F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При формуванні людського капіталу не менш важливою проблемою є старіння кадрів та їх нестача, особливо на рівні місцевої громади, зокрема педагогічних та медичних. Все це призвело до гострої</w:t>
      </w:r>
      <w:r w:rsidR="00DC40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потреби у кваліфікованих кадрах.</w:t>
      </w:r>
    </w:p>
    <w:p w:rsidR="00B3789B" w:rsidRPr="00DC40C9" w:rsidRDefault="00B3789B" w:rsidP="00DC40C9">
      <w:pPr>
        <w:ind w:left="-567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56F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З метою реалізації Програми в Музиківській </w:t>
      </w:r>
      <w:r w:rsidR="00DC40C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сільській</w:t>
      </w:r>
      <w:r w:rsidRPr="00656F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територіальній громаді проведено аналіз існуючої потреби ринку праці у педагогічних та медичних працівниках. Встановлено не лише кількісні, а й якісні потреби – напрямки підготовки фахівців та їх спеціальності, спеціалізації. Для якісної підготовки кадрів проаналізовано існуючу освітню інфраструктуру, що може забезпечити підготовку кадрів відповідно до регіонального замовлення.</w:t>
      </w:r>
    </w:p>
    <w:p w:rsidR="00B3789B" w:rsidRPr="008972AC" w:rsidRDefault="00B3789B" w:rsidP="008972AC">
      <w:pPr>
        <w:pStyle w:val="a4"/>
        <w:ind w:left="-567"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72AC">
        <w:rPr>
          <w:rFonts w:ascii="Times New Roman" w:eastAsia="Times New Roman" w:hAnsi="Times New Roman" w:cs="Times New Roman"/>
          <w:sz w:val="28"/>
          <w:szCs w:val="28"/>
          <w:lang w:val="uk-UA"/>
        </w:rPr>
        <w:t>Досягнення мети Програми можливе шляхом:</w:t>
      </w:r>
    </w:p>
    <w:p w:rsidR="00B3789B" w:rsidRPr="008972AC" w:rsidRDefault="00B3789B" w:rsidP="008972AC">
      <w:pPr>
        <w:pStyle w:val="a4"/>
        <w:ind w:left="-567"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72AC">
        <w:rPr>
          <w:rFonts w:ascii="Times New Roman" w:eastAsia="Times New Roman" w:hAnsi="Times New Roman" w:cs="Times New Roman"/>
          <w:sz w:val="28"/>
          <w:szCs w:val="28"/>
          <w:lang w:val="uk-UA"/>
        </w:rPr>
        <w:t>- фінансування підготовки здобувачів вищої освіти за рахунок обласного та  місцевого бюджетів для абітурієнтів із сільської місцевості;</w:t>
      </w:r>
    </w:p>
    <w:p w:rsidR="00B3789B" w:rsidRPr="008972AC" w:rsidRDefault="00B3789B" w:rsidP="008972AC">
      <w:pPr>
        <w:pStyle w:val="a4"/>
        <w:ind w:left="-567"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72AC">
        <w:rPr>
          <w:rFonts w:ascii="Times New Roman" w:eastAsia="Times New Roman" w:hAnsi="Times New Roman" w:cs="Times New Roman"/>
          <w:sz w:val="28"/>
          <w:szCs w:val="28"/>
          <w:lang w:val="uk-UA"/>
        </w:rPr>
        <w:t>- впровадження регіонального замовлення на гостродефіцитні спеціальності;</w:t>
      </w:r>
    </w:p>
    <w:p w:rsidR="00B3789B" w:rsidRPr="008972AC" w:rsidRDefault="00B3789B" w:rsidP="008972AC">
      <w:pPr>
        <w:pStyle w:val="a4"/>
        <w:ind w:left="-567"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72AC">
        <w:rPr>
          <w:rFonts w:ascii="Times New Roman" w:eastAsia="Times New Roman" w:hAnsi="Times New Roman" w:cs="Times New Roman"/>
          <w:sz w:val="28"/>
          <w:szCs w:val="28"/>
          <w:lang w:val="uk-UA"/>
        </w:rPr>
        <w:t>- проведення профорієнтаційних заходів серед  молоді;</w:t>
      </w:r>
    </w:p>
    <w:p w:rsidR="00B3789B" w:rsidRPr="008972AC" w:rsidRDefault="00B3789B" w:rsidP="008972AC">
      <w:pPr>
        <w:pStyle w:val="a4"/>
        <w:ind w:left="-567"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72AC">
        <w:rPr>
          <w:rFonts w:ascii="Times New Roman" w:eastAsia="Times New Roman" w:hAnsi="Times New Roman" w:cs="Times New Roman"/>
          <w:sz w:val="28"/>
          <w:szCs w:val="28"/>
          <w:lang w:val="uk-UA"/>
        </w:rPr>
        <w:t>- сприяння формуванню висококваліфікованих фахівців;</w:t>
      </w:r>
    </w:p>
    <w:p w:rsidR="00B3789B" w:rsidRPr="008972AC" w:rsidRDefault="00B15EE8" w:rsidP="008972AC">
      <w:pPr>
        <w:pStyle w:val="a4"/>
        <w:ind w:left="-567"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 збільшення частки населення громади</w:t>
      </w:r>
      <w:r w:rsidR="00B3789B" w:rsidRPr="008972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вищою освітою; </w:t>
      </w:r>
    </w:p>
    <w:p w:rsidR="00B3789B" w:rsidRPr="008972AC" w:rsidRDefault="00B3789B" w:rsidP="008972AC">
      <w:pPr>
        <w:pStyle w:val="a4"/>
        <w:ind w:left="-567"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72AC">
        <w:rPr>
          <w:rFonts w:ascii="Times New Roman" w:eastAsia="Times New Roman" w:hAnsi="Times New Roman" w:cs="Times New Roman"/>
          <w:sz w:val="28"/>
          <w:szCs w:val="28"/>
          <w:lang w:val="uk-UA"/>
        </w:rPr>
        <w:t>- надання у вищих навчальних закладах області якісної освіти випускникам шкіл з 140 - 160 балами за результатами ЗНО за рахунок коштів обласного  та місцевого бюджетів з подальшим працевлаштуванням їх за місцем проживання;</w:t>
      </w:r>
    </w:p>
    <w:p w:rsidR="008972AC" w:rsidRDefault="00B3789B" w:rsidP="008972AC">
      <w:pPr>
        <w:pStyle w:val="a4"/>
        <w:ind w:left="-567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2AC">
        <w:rPr>
          <w:rFonts w:ascii="Times New Roman" w:eastAsia="Times New Roman" w:hAnsi="Times New Roman" w:cs="Times New Roman"/>
          <w:sz w:val="28"/>
          <w:szCs w:val="28"/>
          <w:lang w:val="uk-UA"/>
        </w:rPr>
        <w:t>- надання соціально незахищеним верствам населення, у тому числі демобілізованим військовослужбовцям, що проходили службу у зоні проведення АТО  якісних освітніх послуг у вищих навчальних закладах області за кошти обласного та місцевих бюджетів з розрахунком один військовослужбовець на весь період навчання.</w:t>
      </w:r>
    </w:p>
    <w:p w:rsidR="008972AC" w:rsidRDefault="003A547D" w:rsidP="008972AC">
      <w:pPr>
        <w:pStyle w:val="a4"/>
        <w:ind w:left="-567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2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Відділом освіти та гуманітарного розвитку Музиківської сільської ради було розроблено та забезпечено заклади освіти  інформаційними листами  щодо отримання безкоштовної  вищої освіти за кошти місцевого </w:t>
      </w:r>
      <w:r w:rsidR="00A03BEE">
        <w:rPr>
          <w:rFonts w:ascii="Times New Roman" w:eastAsia="Times New Roman" w:hAnsi="Times New Roman" w:cs="Times New Roman"/>
          <w:sz w:val="28"/>
          <w:szCs w:val="28"/>
          <w:lang w:val="uk-UA"/>
        </w:rPr>
        <w:t>та обласного</w:t>
      </w:r>
      <w:r w:rsidR="00A03BEE" w:rsidRPr="00A03B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03BEE">
        <w:rPr>
          <w:rFonts w:ascii="Times New Roman" w:eastAsia="Times New Roman" w:hAnsi="Times New Roman" w:cs="Times New Roman"/>
          <w:sz w:val="28"/>
          <w:szCs w:val="28"/>
          <w:lang w:val="uk-UA"/>
        </w:rPr>
        <w:t>бюджетів</w:t>
      </w:r>
      <w:r w:rsidRPr="008972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(у рамках  програми «Розвиток Людського  капіталу </w:t>
      </w:r>
      <w:proofErr w:type="spellStart"/>
      <w:r w:rsidRPr="008972AC">
        <w:rPr>
          <w:rFonts w:ascii="Times New Roman" w:eastAsia="Times New Roman" w:hAnsi="Times New Roman" w:cs="Times New Roman"/>
          <w:sz w:val="28"/>
          <w:szCs w:val="28"/>
          <w:lang w:val="uk-UA"/>
        </w:rPr>
        <w:t>Музиківс</w:t>
      </w:r>
      <w:r w:rsidR="00B15EE8">
        <w:rPr>
          <w:rFonts w:ascii="Times New Roman" w:eastAsia="Times New Roman" w:hAnsi="Times New Roman" w:cs="Times New Roman"/>
          <w:sz w:val="28"/>
          <w:szCs w:val="28"/>
          <w:lang w:val="uk-UA"/>
        </w:rPr>
        <w:t>ької</w:t>
      </w:r>
      <w:proofErr w:type="spellEnd"/>
      <w:r w:rsidR="00B15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972AC">
        <w:rPr>
          <w:rFonts w:ascii="Times New Roman" w:eastAsia="Times New Roman" w:hAnsi="Times New Roman" w:cs="Times New Roman"/>
          <w:sz w:val="28"/>
          <w:szCs w:val="28"/>
          <w:lang w:val="uk-UA"/>
        </w:rPr>
        <w:t>ТГ»)</w:t>
      </w:r>
      <w:r w:rsidR="008972A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972AC" w:rsidRPr="008972AC" w:rsidRDefault="008972AC" w:rsidP="008972AC">
      <w:pPr>
        <w:pStyle w:val="a4"/>
        <w:ind w:left="-567"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Сформовано</w:t>
      </w:r>
      <w:r w:rsidRPr="008972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регіональне замовленн</w:t>
      </w:r>
      <w:r w:rsidR="00B15EE8">
        <w:rPr>
          <w:rFonts w:ascii="Times New Roman" w:eastAsia="Times New Roman" w:hAnsi="Times New Roman" w:cs="Times New Roman"/>
          <w:sz w:val="28"/>
          <w:szCs w:val="28"/>
          <w:lang w:val="uk-UA"/>
        </w:rPr>
        <w:t>я на підготовку педагогічного фахівця  у 2021 році в кількості 1 осо</w:t>
      </w:r>
      <w:r w:rsidRPr="008972AC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="00B15EE8">
        <w:rPr>
          <w:rFonts w:ascii="Times New Roman" w:eastAsia="Times New Roman" w:hAnsi="Times New Roman" w:cs="Times New Roman"/>
          <w:sz w:val="28"/>
          <w:szCs w:val="28"/>
          <w:lang w:val="uk-UA"/>
        </w:rPr>
        <w:t>а – логопед в КЗ «</w:t>
      </w:r>
      <w:proofErr w:type="spellStart"/>
      <w:r w:rsidR="00B15EE8">
        <w:rPr>
          <w:rFonts w:ascii="Times New Roman" w:eastAsia="Times New Roman" w:hAnsi="Times New Roman" w:cs="Times New Roman"/>
          <w:sz w:val="28"/>
          <w:szCs w:val="28"/>
          <w:lang w:val="uk-UA"/>
        </w:rPr>
        <w:t>Музиківський</w:t>
      </w:r>
      <w:proofErr w:type="spellEnd"/>
      <w:r w:rsidR="00B15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ясла-садок «Малятко».</w:t>
      </w:r>
    </w:p>
    <w:p w:rsidR="000F0CA8" w:rsidRPr="00F45BD2" w:rsidRDefault="000F0CA8" w:rsidP="000F0CA8">
      <w:pPr>
        <w:pStyle w:val="a3"/>
        <w:ind w:left="-567"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На навчання у 2021 році передбачено  кошти: військовослужбовці</w:t>
      </w:r>
      <w:r w:rsidR="00043054">
        <w:rPr>
          <w:rFonts w:ascii="Times New Roman" w:hAnsi="Times New Roman"/>
          <w:sz w:val="28"/>
          <w:szCs w:val="28"/>
          <w:lang w:val="uk-UA"/>
        </w:rPr>
        <w:t xml:space="preserve"> - </w:t>
      </w:r>
      <w:r>
        <w:rPr>
          <w:rFonts w:ascii="Times New Roman" w:hAnsi="Times New Roman"/>
          <w:sz w:val="28"/>
          <w:szCs w:val="28"/>
          <w:lang w:val="uk-UA"/>
        </w:rPr>
        <w:t xml:space="preserve"> 6 429,75 грн; на підготовку педагогічних фахівців – 14 775 грн. </w:t>
      </w:r>
    </w:p>
    <w:p w:rsidR="00F65723" w:rsidRDefault="00F65723" w:rsidP="00F65723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0F0CA8" w:rsidRDefault="000F0CA8" w:rsidP="000F0CA8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189"/>
        <w:gridCol w:w="2071"/>
        <w:gridCol w:w="1134"/>
        <w:gridCol w:w="1134"/>
        <w:gridCol w:w="1276"/>
        <w:gridCol w:w="1559"/>
      </w:tblGrid>
      <w:tr w:rsidR="000F0CA8" w:rsidTr="004345E6">
        <w:trPr>
          <w:trHeight w:val="726"/>
        </w:trPr>
        <w:tc>
          <w:tcPr>
            <w:tcW w:w="2411" w:type="dxa"/>
            <w:vMerge w:val="restart"/>
          </w:tcPr>
          <w:p w:rsidR="000F0CA8" w:rsidRPr="00E4396C" w:rsidRDefault="000F0CA8" w:rsidP="004345E6">
            <w:pPr>
              <w:tabs>
                <w:tab w:val="left" w:pos="4287"/>
              </w:tabs>
              <w:rPr>
                <w:rFonts w:ascii="Times New Roman" w:hAnsi="Times New Roman"/>
                <w:sz w:val="24"/>
                <w:szCs w:val="24"/>
              </w:rPr>
            </w:pPr>
            <w:r w:rsidRPr="00E4396C">
              <w:rPr>
                <w:rFonts w:ascii="Times New Roman" w:hAnsi="Times New Roman"/>
                <w:sz w:val="24"/>
                <w:szCs w:val="24"/>
              </w:rPr>
              <w:t xml:space="preserve">Дата та № </w:t>
            </w:r>
            <w:proofErr w:type="spellStart"/>
            <w:r w:rsidRPr="00E4396C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  <w:r w:rsidRPr="00E439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4396C">
              <w:rPr>
                <w:rFonts w:ascii="Times New Roman" w:hAnsi="Times New Roman"/>
                <w:sz w:val="24"/>
                <w:szCs w:val="24"/>
              </w:rPr>
              <w:t>районної</w:t>
            </w:r>
            <w:proofErr w:type="spellEnd"/>
            <w:r w:rsidRPr="00E439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E4396C">
              <w:rPr>
                <w:rFonts w:ascii="Times New Roman" w:hAnsi="Times New Roman"/>
                <w:sz w:val="24"/>
                <w:szCs w:val="24"/>
              </w:rPr>
              <w:t>сільської</w:t>
            </w:r>
            <w:proofErr w:type="spellEnd"/>
            <w:r w:rsidRPr="00E4396C">
              <w:rPr>
                <w:rFonts w:ascii="Times New Roman" w:hAnsi="Times New Roman"/>
                <w:sz w:val="24"/>
                <w:szCs w:val="24"/>
              </w:rPr>
              <w:t xml:space="preserve"> ради про </w:t>
            </w:r>
            <w:proofErr w:type="spellStart"/>
            <w:r w:rsidRPr="00E4396C">
              <w:rPr>
                <w:rFonts w:ascii="Times New Roman" w:hAnsi="Times New Roman"/>
                <w:sz w:val="24"/>
                <w:szCs w:val="24"/>
              </w:rPr>
              <w:t>внесення</w:t>
            </w:r>
            <w:proofErr w:type="spellEnd"/>
            <w:r w:rsidRPr="00E439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396C">
              <w:rPr>
                <w:rFonts w:ascii="Times New Roman" w:hAnsi="Times New Roman"/>
                <w:sz w:val="24"/>
                <w:szCs w:val="24"/>
              </w:rPr>
              <w:t>змін</w:t>
            </w:r>
            <w:proofErr w:type="spellEnd"/>
            <w:r w:rsidRPr="00E4396C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E4396C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E439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9" w:type="dxa"/>
            <w:vMerge w:val="restart"/>
          </w:tcPr>
          <w:p w:rsidR="000F0CA8" w:rsidRPr="00E4396C" w:rsidRDefault="000F0CA8" w:rsidP="004345E6">
            <w:pPr>
              <w:tabs>
                <w:tab w:val="left" w:pos="42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396C">
              <w:rPr>
                <w:rFonts w:ascii="Times New Roman" w:hAnsi="Times New Roman"/>
                <w:sz w:val="24"/>
                <w:szCs w:val="24"/>
              </w:rPr>
              <w:t>Галузь</w:t>
            </w:r>
            <w:proofErr w:type="spellEnd"/>
          </w:p>
        </w:tc>
        <w:tc>
          <w:tcPr>
            <w:tcW w:w="2071" w:type="dxa"/>
            <w:vMerge w:val="restart"/>
          </w:tcPr>
          <w:p w:rsidR="000F0CA8" w:rsidRPr="00E4396C" w:rsidRDefault="000F0CA8" w:rsidP="004345E6">
            <w:pPr>
              <w:tabs>
                <w:tab w:val="left" w:pos="42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96C">
              <w:rPr>
                <w:rFonts w:ascii="Times New Roman" w:hAnsi="Times New Roman"/>
                <w:sz w:val="24"/>
                <w:szCs w:val="24"/>
              </w:rPr>
              <w:t xml:space="preserve">ПІБ </w:t>
            </w:r>
            <w:proofErr w:type="spellStart"/>
            <w:r w:rsidRPr="00E4396C">
              <w:rPr>
                <w:rFonts w:ascii="Times New Roman" w:hAnsi="Times New Roman"/>
                <w:sz w:val="24"/>
                <w:szCs w:val="24"/>
              </w:rPr>
              <w:t>учасника</w:t>
            </w:r>
            <w:proofErr w:type="spellEnd"/>
          </w:p>
        </w:tc>
        <w:tc>
          <w:tcPr>
            <w:tcW w:w="3544" w:type="dxa"/>
            <w:gridSpan w:val="3"/>
          </w:tcPr>
          <w:p w:rsidR="000F0CA8" w:rsidRPr="00E4396C" w:rsidRDefault="000F0CA8" w:rsidP="004345E6">
            <w:pPr>
              <w:tabs>
                <w:tab w:val="left" w:pos="42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396C">
              <w:rPr>
                <w:rFonts w:ascii="Times New Roman" w:hAnsi="Times New Roman"/>
                <w:sz w:val="24"/>
                <w:szCs w:val="24"/>
              </w:rPr>
              <w:t>Обсяг</w:t>
            </w:r>
            <w:proofErr w:type="spellEnd"/>
            <w:r w:rsidRPr="00E439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396C">
              <w:rPr>
                <w:rFonts w:ascii="Times New Roman" w:hAnsi="Times New Roman"/>
                <w:sz w:val="24"/>
                <w:szCs w:val="24"/>
              </w:rPr>
              <w:t>коштів</w:t>
            </w:r>
            <w:proofErr w:type="spellEnd"/>
            <w:r w:rsidRPr="00E439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4396C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E439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396C">
              <w:rPr>
                <w:rFonts w:ascii="Times New Roman" w:hAnsi="Times New Roman"/>
                <w:sz w:val="24"/>
                <w:szCs w:val="24"/>
              </w:rPr>
              <w:t>передбачено</w:t>
            </w:r>
            <w:proofErr w:type="spellEnd"/>
            <w:r w:rsidRPr="00E439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4396C">
              <w:rPr>
                <w:rFonts w:ascii="Times New Roman" w:hAnsi="Times New Roman"/>
                <w:sz w:val="24"/>
                <w:szCs w:val="24"/>
              </w:rPr>
              <w:t>місцевий</w:t>
            </w:r>
            <w:proofErr w:type="spellEnd"/>
            <w:r w:rsidRPr="00E4396C">
              <w:rPr>
                <w:rFonts w:ascii="Times New Roman" w:hAnsi="Times New Roman"/>
                <w:sz w:val="24"/>
                <w:szCs w:val="24"/>
              </w:rPr>
              <w:t xml:space="preserve"> бюджет), </w:t>
            </w:r>
            <w:proofErr w:type="spellStart"/>
            <w:r w:rsidRPr="00E4396C">
              <w:rPr>
                <w:rFonts w:ascii="Times New Roman" w:hAnsi="Times New Roman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559" w:type="dxa"/>
            <w:vMerge w:val="restart"/>
          </w:tcPr>
          <w:p w:rsidR="000F0CA8" w:rsidRPr="00E4396C" w:rsidRDefault="000F0CA8" w:rsidP="004345E6">
            <w:pPr>
              <w:tabs>
                <w:tab w:val="left" w:pos="4287"/>
              </w:tabs>
              <w:rPr>
                <w:rFonts w:ascii="Times New Roman" w:hAnsi="Times New Roman"/>
                <w:sz w:val="24"/>
                <w:szCs w:val="24"/>
              </w:rPr>
            </w:pPr>
            <w:r w:rsidRPr="00E4396C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E4396C">
              <w:rPr>
                <w:rFonts w:ascii="Times New Roman" w:hAnsi="Times New Roman"/>
                <w:sz w:val="24"/>
                <w:szCs w:val="24"/>
              </w:rPr>
              <w:t>який</w:t>
            </w:r>
            <w:proofErr w:type="spellEnd"/>
            <w:r w:rsidRPr="00E439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396C">
              <w:rPr>
                <w:rFonts w:ascii="Times New Roman" w:hAnsi="Times New Roman"/>
                <w:sz w:val="24"/>
                <w:szCs w:val="24"/>
              </w:rPr>
              <w:t>термін</w:t>
            </w:r>
            <w:proofErr w:type="spellEnd"/>
            <w:r w:rsidRPr="00E439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396C">
              <w:rPr>
                <w:rFonts w:ascii="Times New Roman" w:hAnsi="Times New Roman"/>
                <w:sz w:val="24"/>
                <w:szCs w:val="24"/>
              </w:rPr>
              <w:t>навчання</w:t>
            </w:r>
            <w:proofErr w:type="spellEnd"/>
            <w:r w:rsidRPr="00E439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396C">
              <w:rPr>
                <w:rFonts w:ascii="Times New Roman" w:hAnsi="Times New Roman"/>
                <w:sz w:val="24"/>
                <w:szCs w:val="24"/>
              </w:rPr>
              <w:t>передбачено</w:t>
            </w:r>
            <w:proofErr w:type="spellEnd"/>
            <w:r w:rsidRPr="00E4396C">
              <w:rPr>
                <w:rFonts w:ascii="Times New Roman" w:hAnsi="Times New Roman"/>
                <w:sz w:val="24"/>
                <w:szCs w:val="24"/>
              </w:rPr>
              <w:t xml:space="preserve"> (курс, </w:t>
            </w:r>
            <w:proofErr w:type="spellStart"/>
            <w:r w:rsidRPr="00E4396C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 w:rsidRPr="00E439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396C">
              <w:rPr>
                <w:rFonts w:ascii="Times New Roman" w:hAnsi="Times New Roman"/>
                <w:sz w:val="24"/>
                <w:szCs w:val="24"/>
              </w:rPr>
              <w:t>років</w:t>
            </w:r>
            <w:proofErr w:type="spellEnd"/>
            <w:r w:rsidRPr="00E4396C">
              <w:rPr>
                <w:rFonts w:ascii="Times New Roman" w:hAnsi="Times New Roman"/>
                <w:sz w:val="24"/>
                <w:szCs w:val="24"/>
              </w:rPr>
              <w:t xml:space="preserve">, на </w:t>
            </w:r>
            <w:proofErr w:type="spellStart"/>
            <w:r w:rsidRPr="00E4396C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E439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396C">
              <w:rPr>
                <w:rFonts w:ascii="Times New Roman" w:hAnsi="Times New Roman"/>
                <w:sz w:val="24"/>
                <w:szCs w:val="24"/>
              </w:rPr>
              <w:t>передбачено</w:t>
            </w:r>
            <w:proofErr w:type="spellEnd"/>
            <w:r w:rsidRPr="00E439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396C"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  <w:r w:rsidRPr="00E4396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F0CA8" w:rsidTr="00306629">
        <w:trPr>
          <w:trHeight w:val="127"/>
        </w:trPr>
        <w:tc>
          <w:tcPr>
            <w:tcW w:w="2411" w:type="dxa"/>
            <w:vMerge/>
          </w:tcPr>
          <w:p w:rsidR="000F0CA8" w:rsidRPr="00E4396C" w:rsidRDefault="000F0CA8" w:rsidP="004345E6">
            <w:pPr>
              <w:tabs>
                <w:tab w:val="left" w:pos="42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0F0CA8" w:rsidRPr="00E4396C" w:rsidRDefault="000F0CA8" w:rsidP="004345E6">
            <w:pPr>
              <w:tabs>
                <w:tab w:val="left" w:pos="42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  <w:vMerge/>
          </w:tcPr>
          <w:p w:rsidR="000F0CA8" w:rsidRPr="00E4396C" w:rsidRDefault="000F0CA8" w:rsidP="004345E6">
            <w:pPr>
              <w:tabs>
                <w:tab w:val="left" w:pos="42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CA8" w:rsidRPr="00E4396C" w:rsidRDefault="000F0CA8" w:rsidP="004345E6">
            <w:pPr>
              <w:tabs>
                <w:tab w:val="left" w:pos="4287"/>
              </w:tabs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396C">
              <w:rPr>
                <w:rFonts w:ascii="Times New Roman" w:hAnsi="Times New Roman"/>
                <w:sz w:val="24"/>
                <w:szCs w:val="24"/>
              </w:rPr>
              <w:t>Районний</w:t>
            </w:r>
            <w:proofErr w:type="spellEnd"/>
            <w:r w:rsidRPr="00E4396C">
              <w:rPr>
                <w:rFonts w:ascii="Times New Roman" w:hAnsi="Times New Roman"/>
                <w:sz w:val="24"/>
                <w:szCs w:val="24"/>
              </w:rPr>
              <w:t xml:space="preserve"> (50%)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F0CA8" w:rsidRPr="00E4396C" w:rsidRDefault="000F0CA8" w:rsidP="004345E6">
            <w:pPr>
              <w:tabs>
                <w:tab w:val="left" w:pos="42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396C">
              <w:rPr>
                <w:rFonts w:ascii="Times New Roman" w:hAnsi="Times New Roman"/>
                <w:sz w:val="24"/>
                <w:szCs w:val="24"/>
              </w:rPr>
              <w:t>Сільський</w:t>
            </w:r>
            <w:proofErr w:type="spellEnd"/>
            <w:r w:rsidRPr="00E4396C">
              <w:rPr>
                <w:rFonts w:ascii="Times New Roman" w:hAnsi="Times New Roman"/>
                <w:sz w:val="24"/>
                <w:szCs w:val="24"/>
              </w:rPr>
              <w:t xml:space="preserve"> (25%)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F0CA8" w:rsidRPr="00E4396C" w:rsidRDefault="000F0CA8" w:rsidP="004345E6">
            <w:pPr>
              <w:tabs>
                <w:tab w:val="left" w:pos="42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96C">
              <w:rPr>
                <w:rFonts w:ascii="Times New Roman" w:hAnsi="Times New Roman"/>
                <w:sz w:val="24"/>
                <w:szCs w:val="24"/>
              </w:rPr>
              <w:t>ОТГ (75%)</w:t>
            </w:r>
          </w:p>
        </w:tc>
        <w:tc>
          <w:tcPr>
            <w:tcW w:w="1559" w:type="dxa"/>
            <w:vMerge/>
          </w:tcPr>
          <w:p w:rsidR="000F0CA8" w:rsidRPr="00E4396C" w:rsidRDefault="000F0CA8" w:rsidP="004345E6">
            <w:pPr>
              <w:tabs>
                <w:tab w:val="left" w:pos="42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CA8" w:rsidRPr="00E4396C" w:rsidTr="00306629">
        <w:trPr>
          <w:trHeight w:val="1759"/>
        </w:trPr>
        <w:tc>
          <w:tcPr>
            <w:tcW w:w="2411" w:type="dxa"/>
            <w:tcBorders>
              <w:bottom w:val="single" w:sz="4" w:space="0" w:color="auto"/>
            </w:tcBorders>
          </w:tcPr>
          <w:p w:rsidR="000F0CA8" w:rsidRPr="008D3EAF" w:rsidRDefault="000F0CA8" w:rsidP="004345E6">
            <w:pPr>
              <w:tabs>
                <w:tab w:val="left" w:pos="4287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4396C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E439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 </w:t>
            </w:r>
            <w:r w:rsidRPr="00E4396C">
              <w:rPr>
                <w:rFonts w:ascii="Times New Roman" w:hAnsi="Times New Roman"/>
                <w:sz w:val="24"/>
                <w:szCs w:val="24"/>
              </w:rPr>
              <w:t>р.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0F0CA8" w:rsidRPr="00E4396C" w:rsidRDefault="000F0CA8" w:rsidP="004345E6">
            <w:pPr>
              <w:tabs>
                <w:tab w:val="left" w:pos="42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396C">
              <w:rPr>
                <w:rFonts w:ascii="Times New Roman" w:hAnsi="Times New Roman"/>
                <w:sz w:val="24"/>
                <w:szCs w:val="24"/>
              </w:rPr>
              <w:t>Освіта</w:t>
            </w:r>
            <w:proofErr w:type="spellEnd"/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0F0CA8" w:rsidRPr="008D3EAF" w:rsidRDefault="000F0CA8" w:rsidP="004345E6">
            <w:pPr>
              <w:tabs>
                <w:tab w:val="left" w:pos="4287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Миколаєнко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Андріївна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0CA8" w:rsidRPr="00E4396C" w:rsidRDefault="000F0CA8" w:rsidP="004345E6">
            <w:pPr>
              <w:tabs>
                <w:tab w:val="left" w:pos="42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F0CA8" w:rsidRPr="00E4396C" w:rsidRDefault="000F0CA8" w:rsidP="004345E6">
            <w:pPr>
              <w:tabs>
                <w:tab w:val="left" w:pos="42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0F0CA8" w:rsidRPr="008D3EAF" w:rsidRDefault="000F0CA8" w:rsidP="004345E6">
            <w:pPr>
              <w:tabs>
                <w:tab w:val="left" w:pos="4287"/>
              </w:tabs>
              <w:ind w:left="-10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AF">
              <w:rPr>
                <w:rFonts w:ascii="Times New Roman" w:hAnsi="Times New Roman"/>
                <w:sz w:val="24"/>
                <w:szCs w:val="24"/>
                <w:lang w:val="uk-UA"/>
              </w:rPr>
              <w:t>14 775 грн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0CA8" w:rsidRDefault="000F0CA8" w:rsidP="004345E6">
            <w:pPr>
              <w:tabs>
                <w:tab w:val="left" w:pos="4287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курс </w:t>
            </w:r>
          </w:p>
          <w:p w:rsidR="000F0CA8" w:rsidRPr="00E4396C" w:rsidRDefault="000F0CA8" w:rsidP="004345E6">
            <w:pPr>
              <w:tabs>
                <w:tab w:val="left" w:pos="4287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2021-2022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0F0CA8" w:rsidRPr="00E4396C" w:rsidTr="00306629">
        <w:trPr>
          <w:trHeight w:val="864"/>
        </w:trPr>
        <w:tc>
          <w:tcPr>
            <w:tcW w:w="2411" w:type="dxa"/>
            <w:tcBorders>
              <w:top w:val="single" w:sz="4" w:space="0" w:color="auto"/>
            </w:tcBorders>
          </w:tcPr>
          <w:p w:rsidR="000F0CA8" w:rsidRPr="00E4396C" w:rsidRDefault="008212C9" w:rsidP="004345E6">
            <w:pPr>
              <w:tabs>
                <w:tab w:val="left" w:pos="4287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396C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E439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20 </w:t>
            </w:r>
            <w:r w:rsidRPr="00E4396C">
              <w:rPr>
                <w:rFonts w:ascii="Times New Roman" w:eastAsia="Times New Roman" w:hAnsi="Times New Roman" w:cs="Times New Roman"/>
                <w:sz w:val="24"/>
                <w:szCs w:val="24"/>
              </w:rPr>
              <w:t>р.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0F0CA8" w:rsidRPr="00E4396C" w:rsidRDefault="000F0CA8" w:rsidP="004345E6">
            <w:pPr>
              <w:tabs>
                <w:tab w:val="left" w:pos="4287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Адміністрування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0F0CA8" w:rsidRPr="008D3EAF" w:rsidRDefault="000F0CA8" w:rsidP="004345E6">
            <w:pPr>
              <w:tabs>
                <w:tab w:val="left" w:pos="4287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Шпилєвий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Олександр Сергійович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0CA8" w:rsidRPr="00E4396C" w:rsidRDefault="000F0CA8" w:rsidP="004345E6">
            <w:pPr>
              <w:tabs>
                <w:tab w:val="left" w:pos="42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F0CA8" w:rsidRPr="00E4396C" w:rsidRDefault="000F0CA8" w:rsidP="004345E6">
            <w:pPr>
              <w:tabs>
                <w:tab w:val="left" w:pos="42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0F0CA8" w:rsidRPr="008D3EAF" w:rsidRDefault="000F0CA8" w:rsidP="004345E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6 429,75</w:t>
            </w:r>
          </w:p>
          <w:p w:rsidR="000F0CA8" w:rsidRDefault="000F0CA8" w:rsidP="004345E6">
            <w:pPr>
              <w:pStyle w:val="a4"/>
              <w:jc w:val="center"/>
              <w:rPr>
                <w:lang w:val="uk-UA"/>
              </w:rPr>
            </w:pPr>
            <w:r w:rsidRPr="008D3EAF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F0CA8" w:rsidRDefault="000F0CA8" w:rsidP="004345E6">
            <w:pPr>
              <w:tabs>
                <w:tab w:val="left" w:pos="4287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ІІІкурс</w:t>
            </w:r>
            <w:proofErr w:type="spellEnd"/>
          </w:p>
          <w:p w:rsidR="000F0CA8" w:rsidRDefault="000F0CA8" w:rsidP="004345E6">
            <w:pPr>
              <w:tabs>
                <w:tab w:val="left" w:pos="4287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2020-2021</w:t>
            </w:r>
          </w:p>
          <w:p w:rsidR="000F0CA8" w:rsidRDefault="000F0CA8" w:rsidP="004345E6">
            <w:pPr>
              <w:tabs>
                <w:tab w:val="left" w:pos="4287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0F0CA8" w:rsidTr="003066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7939" w:type="dxa"/>
            <w:gridSpan w:val="5"/>
          </w:tcPr>
          <w:p w:rsidR="000F0CA8" w:rsidRPr="008D3EAF" w:rsidRDefault="000F0CA8" w:rsidP="004345E6">
            <w:pPr>
              <w:tabs>
                <w:tab w:val="lef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D3EAF">
              <w:rPr>
                <w:rFonts w:ascii="Times New Roman" w:hAnsi="Times New Roman"/>
                <w:b/>
                <w:sz w:val="24"/>
                <w:szCs w:val="24"/>
              </w:rPr>
              <w:t>Всього</w:t>
            </w:r>
            <w:proofErr w:type="spellEnd"/>
            <w:r w:rsidRPr="008D3EA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</w:tcPr>
          <w:p w:rsidR="000F0CA8" w:rsidRPr="008D3EAF" w:rsidRDefault="00306629" w:rsidP="004345E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21 204,75</w:t>
            </w:r>
          </w:p>
          <w:p w:rsidR="000F0CA8" w:rsidRPr="008D3EAF" w:rsidRDefault="000F0CA8" w:rsidP="004345E6">
            <w:pPr>
              <w:pStyle w:val="a4"/>
              <w:jc w:val="center"/>
              <w:rPr>
                <w:lang w:val="uk-UA"/>
              </w:rPr>
            </w:pPr>
            <w:r w:rsidRPr="008D3EA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559" w:type="dxa"/>
          </w:tcPr>
          <w:p w:rsidR="000F0CA8" w:rsidRPr="00E4396C" w:rsidRDefault="000F0CA8" w:rsidP="004345E6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0CA8" w:rsidRDefault="000F0CA8" w:rsidP="000F0CA8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A547D" w:rsidRPr="00B3789B" w:rsidRDefault="003A547D">
      <w:pPr>
        <w:rPr>
          <w:lang w:val="uk-UA"/>
        </w:rPr>
      </w:pPr>
    </w:p>
    <w:sectPr w:rsidR="003A547D" w:rsidRPr="00B3789B" w:rsidSect="00D55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F168E"/>
    <w:multiLevelType w:val="hybridMultilevel"/>
    <w:tmpl w:val="EBC479F0"/>
    <w:lvl w:ilvl="0" w:tplc="44700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3789B"/>
    <w:rsid w:val="00043054"/>
    <w:rsid w:val="000F0CA8"/>
    <w:rsid w:val="00102135"/>
    <w:rsid w:val="001830DA"/>
    <w:rsid w:val="001A0210"/>
    <w:rsid w:val="00211CC8"/>
    <w:rsid w:val="00263183"/>
    <w:rsid w:val="00267E28"/>
    <w:rsid w:val="00304021"/>
    <w:rsid w:val="00306629"/>
    <w:rsid w:val="003A547D"/>
    <w:rsid w:val="00656F65"/>
    <w:rsid w:val="007E6580"/>
    <w:rsid w:val="0081203F"/>
    <w:rsid w:val="008212C9"/>
    <w:rsid w:val="008972AC"/>
    <w:rsid w:val="00995AC3"/>
    <w:rsid w:val="00A03BEE"/>
    <w:rsid w:val="00B15EE8"/>
    <w:rsid w:val="00B3789B"/>
    <w:rsid w:val="00D41280"/>
    <w:rsid w:val="00D558C4"/>
    <w:rsid w:val="00DC40C9"/>
    <w:rsid w:val="00EB6323"/>
    <w:rsid w:val="00F65723"/>
    <w:rsid w:val="00F7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C5EA"/>
  <w15:docId w15:val="{6E4B0B24-B2B8-450F-AC12-71ECA5CF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qFormat/>
    <w:rsid w:val="00B3789B"/>
    <w:pPr>
      <w:ind w:left="720"/>
      <w:contextualSpacing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3A547D"/>
    <w:pPr>
      <w:ind w:left="720"/>
      <w:contextualSpacing/>
    </w:pPr>
  </w:style>
  <w:style w:type="paragraph" w:styleId="a4">
    <w:name w:val="No Spacing"/>
    <w:uiPriority w:val="1"/>
    <w:qFormat/>
    <w:rsid w:val="008972AC"/>
    <w:pPr>
      <w:spacing w:after="0" w:line="240" w:lineRule="auto"/>
    </w:pPr>
  </w:style>
  <w:style w:type="table" w:styleId="a5">
    <w:name w:val="Table Grid"/>
    <w:basedOn w:val="a1"/>
    <w:uiPriority w:val="39"/>
    <w:rsid w:val="00F657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2061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31</cp:revision>
  <dcterms:created xsi:type="dcterms:W3CDTF">2021-01-12T13:18:00Z</dcterms:created>
  <dcterms:modified xsi:type="dcterms:W3CDTF">2021-07-08T06:32:00Z</dcterms:modified>
</cp:coreProperties>
</file>