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10" w:rsidRPr="004C6789" w:rsidRDefault="001A0210" w:rsidP="001A0210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r w:rsidRPr="004C678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Звіт по Програмі</w:t>
      </w:r>
    </w:p>
    <w:p w:rsidR="001A0210" w:rsidRPr="004C6789" w:rsidRDefault="001A0210" w:rsidP="001A0210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«Розвиток людського капіталу  Музиківської</w:t>
      </w:r>
      <w:r w:rsidR="00DC40C9" w:rsidRPr="004C6789">
        <w:rPr>
          <w:rFonts w:ascii="Times New Roman" w:hAnsi="Times New Roman"/>
          <w:b/>
          <w:sz w:val="24"/>
          <w:szCs w:val="24"/>
          <w:lang w:val="uk-UA"/>
        </w:rPr>
        <w:t xml:space="preserve"> громади</w:t>
      </w:r>
      <w:r w:rsidRPr="004C678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A0210" w:rsidRPr="004C6789" w:rsidRDefault="001A0210" w:rsidP="001A0210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C6789">
        <w:rPr>
          <w:rFonts w:ascii="Times New Roman" w:hAnsi="Times New Roman"/>
          <w:b/>
          <w:bCs/>
          <w:sz w:val="24"/>
          <w:szCs w:val="24"/>
          <w:lang w:val="uk-UA"/>
        </w:rPr>
        <w:t xml:space="preserve">за </w:t>
      </w:r>
      <w:r w:rsidRPr="004C678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2020 ріку.</w:t>
      </w:r>
    </w:p>
    <w:p w:rsidR="001A0210" w:rsidRPr="004C6789" w:rsidRDefault="001A0210" w:rsidP="00656F65">
      <w:pPr>
        <w:spacing w:after="0" w:line="240" w:lineRule="auto"/>
        <w:ind w:left="-567" w:firstLine="99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3789B" w:rsidRPr="004C6789" w:rsidRDefault="00B3789B" w:rsidP="00656F65">
      <w:pPr>
        <w:spacing w:after="0" w:line="240" w:lineRule="auto"/>
        <w:ind w:left="-567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сьогодні розвиток людського капіталу стає стратегічною ціллю. Створення умов для розвитку людського капіталу передбачає доступну освіту,  здатну забезпечити підготовку кадрів для ринку праці Херсонщини та самих кадрів соціальними гарантіями. </w:t>
      </w:r>
    </w:p>
    <w:p w:rsidR="00B3789B" w:rsidRPr="004C6789" w:rsidRDefault="00B3789B" w:rsidP="00656F65">
      <w:pPr>
        <w:spacing w:after="0" w:line="240" w:lineRule="auto"/>
        <w:ind w:left="-567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Саме на формування людського капіталу, його розвиток, а також розвиток регіональної вищої освіти та забезпечення її кваліфікованими фахівцями і кадрами спрямована Програма.</w:t>
      </w:r>
    </w:p>
    <w:p w:rsidR="00DC40C9" w:rsidRPr="004C6789" w:rsidRDefault="00B3789B" w:rsidP="00DC40C9">
      <w:pPr>
        <w:ind w:left="-567" w:firstLine="99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 формуванні людського капіталу не менш важливою проблемою є старіння кадрів та їх нестача, особливо на рівні місцевої громади, зокрема педагогічних та медичних. Все це призвело до гострої</w:t>
      </w:r>
      <w:r w:rsidR="00DC40C9" w:rsidRPr="004C67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потреби у кваліфікованих кадрах.</w:t>
      </w:r>
    </w:p>
    <w:p w:rsidR="00B3789B" w:rsidRPr="004C6789" w:rsidRDefault="00B3789B" w:rsidP="00DC40C9">
      <w:pPr>
        <w:ind w:left="-567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З метою реалізації Програми в Музиківській </w:t>
      </w:r>
      <w:r w:rsidR="00DC40C9" w:rsidRPr="004C678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сільській</w:t>
      </w:r>
      <w:r w:rsidRPr="004C67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територіальній громаді проведено аналіз існуючої потреби ринку праці у педагогічних та медичних працівниках. Встановлено не лише кількісні, а й якісні потреби – напрямки підготовки фахівців та їх спеціальності, спеціалізації. Для якісної підготовки кадрів проаналізовано існуючу освітню інфраструктуру, що може забезпечити підготовку кадрів відповідно до регіонального замовлення.</w:t>
      </w:r>
    </w:p>
    <w:p w:rsidR="00B3789B" w:rsidRPr="004C6789" w:rsidRDefault="00B3789B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>Досягнення мети Програми можливе шляхом:</w:t>
      </w:r>
    </w:p>
    <w:p w:rsidR="00B3789B" w:rsidRPr="004C6789" w:rsidRDefault="00B3789B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>- фінансування підготовки здобувачів вищої освіти за рахунок обласного та  місцевого бюджетів для абітурієнтів із сільської місцевості;</w:t>
      </w:r>
    </w:p>
    <w:p w:rsidR="00B3789B" w:rsidRPr="004C6789" w:rsidRDefault="00B3789B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>- впровадження регіонального замовлення на гостродефіцитні спеціальності;</w:t>
      </w:r>
    </w:p>
    <w:p w:rsidR="00B3789B" w:rsidRPr="004C6789" w:rsidRDefault="00B3789B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>- проведення профорієнтаційних заходів серед  молоді;</w:t>
      </w:r>
    </w:p>
    <w:p w:rsidR="00B3789B" w:rsidRPr="004C6789" w:rsidRDefault="00B3789B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>- сприяння формуванню висококваліфікованих фахівців;</w:t>
      </w:r>
    </w:p>
    <w:p w:rsidR="00B3789B" w:rsidRPr="004C6789" w:rsidRDefault="00B3789B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 збільшення частки населення ОТГ з вищою освітою; </w:t>
      </w:r>
    </w:p>
    <w:p w:rsidR="00B3789B" w:rsidRPr="004C6789" w:rsidRDefault="00B3789B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>- надання у вищих навчальних закладах області якісної освіти випускникам шкіл з 140 - 160 балами за результатами ЗНО за рахунок коштів обласного  та місцевого бюджетів з подальшим працевлаштуванням їх за місцем проживання;</w:t>
      </w:r>
    </w:p>
    <w:p w:rsidR="008972AC" w:rsidRPr="004C6789" w:rsidRDefault="00B3789B" w:rsidP="008972AC">
      <w:pPr>
        <w:pStyle w:val="a4"/>
        <w:ind w:left="-567"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>- надання соціально незахищеним верствам населення, у тому числі демобілізованим військовослужбовцям, що проходили службу у зоні проведення АТО  якісних освітніх послуг у вищих навчальних закладах області за кошти обласного та місцевих бюджетів з розрахунком один військовослужбовець на весь період навчання.</w:t>
      </w:r>
    </w:p>
    <w:p w:rsidR="008972AC" w:rsidRPr="004C6789" w:rsidRDefault="003A547D" w:rsidP="008972AC">
      <w:pPr>
        <w:pStyle w:val="a4"/>
        <w:ind w:left="-567"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Відділом освіти та гуманітарного розвитку Музиківської сільської ради було розроблено та забезпечено заклади освіти  інформаційними листами  щодо отримання безкоштовної  вищої освіти за кошти місцевого </w:t>
      </w:r>
      <w:r w:rsidR="00A03BEE"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>та обласного бюджетів</w:t>
      </w: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рамках  програми «Розвиток Людського  капіталу Музиківської ОТГ»)</w:t>
      </w:r>
      <w:r w:rsidR="008972AC" w:rsidRPr="004C67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547D" w:rsidRPr="004C6789" w:rsidRDefault="003A547D" w:rsidP="008972AC">
      <w:pPr>
        <w:pStyle w:val="a4"/>
        <w:ind w:left="-567"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підготовчої роботи було проведено інформаційну кампанію щодо популяризації програми та можливості участі у ній. За час реалізації Програми було надана консультативна допомога бажаючим навчатися за Програмою. </w:t>
      </w:r>
    </w:p>
    <w:p w:rsidR="008972AC" w:rsidRPr="004C6789" w:rsidRDefault="008972AC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789">
        <w:rPr>
          <w:rFonts w:ascii="Times New Roman" w:hAnsi="Times New Roman" w:cs="Times New Roman"/>
          <w:sz w:val="24"/>
          <w:szCs w:val="24"/>
          <w:lang w:val="uk-UA"/>
        </w:rPr>
        <w:t>Сформовано</w:t>
      </w: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замовлення на підготовку фахівців  у 2020 році в кількості 2 осіб, з них</w:t>
      </w:r>
      <w:r w:rsidRPr="004C678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педаг</w:t>
      </w:r>
      <w:r w:rsidRPr="004C6789">
        <w:rPr>
          <w:rFonts w:ascii="Times New Roman" w:hAnsi="Times New Roman" w:cs="Times New Roman"/>
          <w:sz w:val="24"/>
          <w:szCs w:val="24"/>
          <w:lang w:val="uk-UA"/>
        </w:rPr>
        <w:t xml:space="preserve">огічних фахівців - </w:t>
      </w: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>2 особи.</w:t>
      </w:r>
    </w:p>
    <w:p w:rsidR="001830DA" w:rsidRPr="004C6789" w:rsidRDefault="001830DA" w:rsidP="00656F65">
      <w:pPr>
        <w:pStyle w:val="a3"/>
        <w:ind w:left="-567"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789">
        <w:rPr>
          <w:rFonts w:ascii="Times New Roman" w:hAnsi="Times New Roman" w:cs="Times New Roman"/>
          <w:sz w:val="24"/>
          <w:szCs w:val="24"/>
          <w:lang w:val="uk-UA"/>
        </w:rPr>
        <w:t>На початку року було п</w:t>
      </w:r>
      <w:r w:rsidR="003A547D"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ередбачено кошти на навчання </w:t>
      </w:r>
      <w:proofErr w:type="spellStart"/>
      <w:r w:rsidR="003A547D"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>Єленич</w:t>
      </w:r>
      <w:proofErr w:type="spellEnd"/>
      <w:r w:rsidR="003A547D"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Вікторії Володимирівні, студентки ІІ курсу</w:t>
      </w:r>
      <w:r w:rsidRPr="004C6789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4C6789">
        <w:rPr>
          <w:rFonts w:ascii="Times New Roman" w:hAnsi="Times New Roman" w:cs="Times New Roman"/>
          <w:sz w:val="24"/>
          <w:szCs w:val="24"/>
          <w:lang w:val="uk-UA"/>
        </w:rPr>
        <w:t>Гущіної</w:t>
      </w:r>
      <w:proofErr w:type="spellEnd"/>
      <w:r w:rsidRPr="004C67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6789">
        <w:rPr>
          <w:rFonts w:ascii="Times New Roman" w:hAnsi="Times New Roman" w:cs="Times New Roman"/>
          <w:sz w:val="24"/>
          <w:szCs w:val="24"/>
          <w:lang w:val="uk-UA"/>
        </w:rPr>
        <w:t>Веронки</w:t>
      </w:r>
      <w:proofErr w:type="spellEnd"/>
      <w:r w:rsidR="003A547D"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В’ячеславівна, студентки І курсу</w:t>
      </w:r>
      <w:r w:rsidRPr="004C67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>Херсонського</w:t>
      </w:r>
      <w:r w:rsidRPr="004C6789">
        <w:rPr>
          <w:rFonts w:ascii="Times New Roman" w:hAnsi="Times New Roman" w:cs="Times New Roman"/>
          <w:sz w:val="24"/>
          <w:szCs w:val="24"/>
          <w:lang w:val="uk-UA"/>
        </w:rPr>
        <w:t xml:space="preserve"> Державного університету  у сумі – 22 800 грн. Проте </w:t>
      </w:r>
      <w:proofErr w:type="spellStart"/>
      <w:r w:rsidRPr="004C6789">
        <w:rPr>
          <w:rFonts w:ascii="Times New Roman" w:hAnsi="Times New Roman" w:cs="Times New Roman"/>
          <w:sz w:val="24"/>
          <w:szCs w:val="24"/>
          <w:lang w:val="uk-UA"/>
        </w:rPr>
        <w:t>Гущіна</w:t>
      </w:r>
      <w:proofErr w:type="spellEnd"/>
      <w:r w:rsidRPr="004C6789">
        <w:rPr>
          <w:rFonts w:ascii="Times New Roman" w:hAnsi="Times New Roman" w:cs="Times New Roman"/>
          <w:sz w:val="24"/>
          <w:szCs w:val="24"/>
          <w:lang w:val="uk-UA"/>
        </w:rPr>
        <w:t xml:space="preserve"> В.В.</w:t>
      </w:r>
      <w:r w:rsidR="00EB6323" w:rsidRPr="004C6789">
        <w:rPr>
          <w:rFonts w:ascii="Times New Roman" w:hAnsi="Times New Roman" w:cs="Times New Roman"/>
          <w:sz w:val="24"/>
          <w:szCs w:val="24"/>
          <w:lang w:val="uk-UA"/>
        </w:rPr>
        <w:t xml:space="preserve"> вступила до закладу на безкоштовну форму навчання, </w:t>
      </w:r>
      <w:r w:rsidR="00F65723" w:rsidRPr="004C6789">
        <w:rPr>
          <w:rFonts w:ascii="Times New Roman" w:hAnsi="Times New Roman" w:cs="Times New Roman"/>
          <w:sz w:val="24"/>
          <w:szCs w:val="24"/>
          <w:lang w:val="uk-UA"/>
        </w:rPr>
        <w:t xml:space="preserve">таму кошти у повному обсязі були перераховані за навчання </w:t>
      </w:r>
      <w:proofErr w:type="spellStart"/>
      <w:r w:rsidR="00D41280" w:rsidRPr="004C6789">
        <w:rPr>
          <w:rFonts w:ascii="Times New Roman" w:hAnsi="Times New Roman" w:cs="Times New Roman"/>
          <w:sz w:val="24"/>
          <w:szCs w:val="24"/>
          <w:lang w:val="uk-UA"/>
        </w:rPr>
        <w:t>Єленич</w:t>
      </w:r>
      <w:proofErr w:type="spellEnd"/>
      <w:r w:rsidR="00D41280" w:rsidRPr="004C6789">
        <w:rPr>
          <w:rFonts w:ascii="Times New Roman" w:hAnsi="Times New Roman" w:cs="Times New Roman"/>
          <w:sz w:val="24"/>
          <w:szCs w:val="24"/>
          <w:lang w:val="uk-UA"/>
        </w:rPr>
        <w:t xml:space="preserve"> В.</w:t>
      </w:r>
      <w:r w:rsidR="00EB6323" w:rsidRPr="004C6789">
        <w:rPr>
          <w:rFonts w:ascii="Times New Roman" w:hAnsi="Times New Roman" w:cs="Times New Roman"/>
          <w:sz w:val="24"/>
          <w:szCs w:val="24"/>
          <w:lang w:val="uk-UA"/>
        </w:rPr>
        <w:t>В. за ІІІ та ІV курс за</w:t>
      </w:r>
      <w:r w:rsidR="00D41280" w:rsidRPr="004C6789">
        <w:rPr>
          <w:rFonts w:ascii="Times New Roman" w:hAnsi="Times New Roman" w:cs="Times New Roman"/>
          <w:sz w:val="24"/>
          <w:szCs w:val="24"/>
          <w:lang w:val="uk-UA"/>
        </w:rPr>
        <w:t xml:space="preserve"> 2020-2021 та 2021-2022 </w:t>
      </w:r>
      <w:proofErr w:type="spellStart"/>
      <w:r w:rsidR="00D41280" w:rsidRPr="004C6789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="00D41280" w:rsidRPr="004C67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547D" w:rsidRPr="004C6789" w:rsidRDefault="00F65723" w:rsidP="00995AC3">
      <w:pPr>
        <w:spacing w:after="0"/>
        <w:ind w:left="-567"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78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 жовтні 2020 року до Музиківської сільської ради звернувся </w:t>
      </w:r>
      <w:proofErr w:type="spellStart"/>
      <w:r w:rsidRPr="004C6789">
        <w:rPr>
          <w:rFonts w:ascii="Times New Roman" w:hAnsi="Times New Roman" w:cs="Times New Roman"/>
          <w:sz w:val="24"/>
          <w:szCs w:val="24"/>
          <w:lang w:val="uk-UA"/>
        </w:rPr>
        <w:t>Шпилєвий</w:t>
      </w:r>
      <w:proofErr w:type="spellEnd"/>
      <w:r w:rsidRPr="004C6789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Сергійович, </w:t>
      </w:r>
      <w:r w:rsidR="00304021"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демобілізований військовослужбовець, </w:t>
      </w:r>
      <w:r w:rsidR="0081203F"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>що проходив</w:t>
      </w:r>
      <w:r w:rsidR="00304021"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службу у зоні проведення АТО</w:t>
      </w:r>
      <w:r w:rsidR="00995AC3"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заявою про включення й</w:t>
      </w:r>
      <w:r w:rsidR="00304021"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>ого в Програму та розглянути питання щодо відшкодування заборгованості за навчання.</w:t>
      </w:r>
      <w:r w:rsidR="00995AC3"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 </w:t>
      </w:r>
      <w:r w:rsidR="00995AC3" w:rsidRPr="004C6789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995AC3"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сесії Музиківської сільської ради </w:t>
      </w:r>
      <w:r w:rsidR="00995AC3" w:rsidRPr="004C6789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="00995AC3" w:rsidRPr="004C6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скликання від 19 листопада 2020 року було прийнято рішення про відшкодування заборгованості у сумі </w:t>
      </w:r>
      <w:r w:rsidR="0081203F" w:rsidRPr="004C6789">
        <w:rPr>
          <w:rFonts w:ascii="Times New Roman" w:hAnsi="Times New Roman"/>
          <w:sz w:val="24"/>
          <w:szCs w:val="24"/>
          <w:lang w:val="uk-UA"/>
        </w:rPr>
        <w:t xml:space="preserve">15 </w:t>
      </w:r>
      <w:r w:rsidR="00995AC3" w:rsidRPr="004C6789">
        <w:rPr>
          <w:rFonts w:ascii="Times New Roman" w:hAnsi="Times New Roman"/>
          <w:sz w:val="24"/>
          <w:szCs w:val="24"/>
          <w:lang w:val="uk-UA"/>
        </w:rPr>
        <w:t>418 грн. та  внесено зміни</w:t>
      </w:r>
      <w:r w:rsidR="0081203F" w:rsidRPr="004C6789">
        <w:rPr>
          <w:rFonts w:ascii="Times New Roman" w:hAnsi="Times New Roman"/>
          <w:sz w:val="24"/>
          <w:szCs w:val="24"/>
          <w:lang w:val="uk-UA"/>
        </w:rPr>
        <w:t xml:space="preserve"> та включено </w:t>
      </w:r>
      <w:proofErr w:type="spellStart"/>
      <w:r w:rsidR="0081203F" w:rsidRPr="004C6789">
        <w:rPr>
          <w:rFonts w:ascii="Times New Roman" w:hAnsi="Times New Roman"/>
          <w:sz w:val="24"/>
          <w:szCs w:val="24"/>
          <w:lang w:val="uk-UA"/>
        </w:rPr>
        <w:t>Шпилєвого</w:t>
      </w:r>
      <w:proofErr w:type="spellEnd"/>
      <w:r w:rsidR="0081203F" w:rsidRPr="004C6789">
        <w:rPr>
          <w:rFonts w:ascii="Times New Roman" w:hAnsi="Times New Roman"/>
          <w:sz w:val="24"/>
          <w:szCs w:val="24"/>
          <w:lang w:val="uk-UA"/>
        </w:rPr>
        <w:t xml:space="preserve"> О.С.</w:t>
      </w:r>
      <w:r w:rsidR="00995AC3" w:rsidRPr="004C6789">
        <w:rPr>
          <w:rFonts w:ascii="Times New Roman" w:hAnsi="Times New Roman"/>
          <w:sz w:val="24"/>
          <w:szCs w:val="24"/>
          <w:lang w:val="uk-UA"/>
        </w:rPr>
        <w:t xml:space="preserve"> до Програми «Розвиток людського капіталу Музиківської ОТГ»</w:t>
      </w:r>
      <w:r w:rsidR="0081203F" w:rsidRPr="004C6789">
        <w:rPr>
          <w:rFonts w:ascii="Times New Roman" w:hAnsi="Times New Roman"/>
          <w:sz w:val="24"/>
          <w:szCs w:val="24"/>
          <w:lang w:val="uk-UA"/>
        </w:rPr>
        <w:t xml:space="preserve"> .</w:t>
      </w:r>
    </w:p>
    <w:p w:rsidR="00F65723" w:rsidRPr="004C6789" w:rsidRDefault="00F65723" w:rsidP="00F65723">
      <w:pPr>
        <w:tabs>
          <w:tab w:val="left" w:pos="4287"/>
        </w:tabs>
        <w:spacing w:after="0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0565" w:type="dxa"/>
        <w:tblInd w:w="-818" w:type="dxa"/>
        <w:tblLayout w:type="fixed"/>
        <w:tblLook w:val="04A0" w:firstRow="1" w:lastRow="0" w:firstColumn="1" w:lastColumn="0" w:noHBand="0" w:noVBand="1"/>
      </w:tblPr>
      <w:tblGrid>
        <w:gridCol w:w="1469"/>
        <w:gridCol w:w="2009"/>
        <w:gridCol w:w="1843"/>
        <w:gridCol w:w="1001"/>
        <w:gridCol w:w="1125"/>
        <w:gridCol w:w="1135"/>
        <w:gridCol w:w="1983"/>
      </w:tblGrid>
      <w:tr w:rsidR="00F65723" w:rsidRPr="004C6789" w:rsidTr="00267E28">
        <w:trPr>
          <w:trHeight w:val="726"/>
        </w:trPr>
        <w:tc>
          <w:tcPr>
            <w:tcW w:w="1469" w:type="dxa"/>
            <w:vMerge w:val="restart"/>
          </w:tcPr>
          <w:p w:rsidR="00F65723" w:rsidRPr="004C6789" w:rsidRDefault="00F65723" w:rsidP="001049F3">
            <w:pPr>
              <w:tabs>
                <w:tab w:val="left" w:pos="42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та №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про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restart"/>
          </w:tcPr>
          <w:p w:rsidR="00F65723" w:rsidRPr="004C6789" w:rsidRDefault="00F65723" w:rsidP="001049F3">
            <w:pPr>
              <w:tabs>
                <w:tab w:val="left" w:pos="428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Галузь</w:t>
            </w:r>
            <w:proofErr w:type="spellEnd"/>
          </w:p>
        </w:tc>
        <w:tc>
          <w:tcPr>
            <w:tcW w:w="1843" w:type="dxa"/>
            <w:vMerge w:val="restart"/>
          </w:tcPr>
          <w:p w:rsidR="00F65723" w:rsidRPr="004C6789" w:rsidRDefault="00F65723" w:rsidP="001049F3">
            <w:pPr>
              <w:tabs>
                <w:tab w:val="left" w:pos="428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ПІБ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261" w:type="dxa"/>
            <w:gridSpan w:val="3"/>
          </w:tcPr>
          <w:p w:rsidR="00F65723" w:rsidRPr="004C6789" w:rsidRDefault="00F65723" w:rsidP="001049F3">
            <w:pPr>
              <w:tabs>
                <w:tab w:val="left" w:pos="428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місцевий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бюджет),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983" w:type="dxa"/>
            <w:vMerge w:val="restart"/>
          </w:tcPr>
          <w:p w:rsidR="00F65723" w:rsidRPr="004C6789" w:rsidRDefault="00F65723" w:rsidP="001049F3">
            <w:pPr>
              <w:tabs>
                <w:tab w:val="left" w:pos="42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(курс,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5723" w:rsidRPr="004C6789" w:rsidTr="00267E28">
        <w:trPr>
          <w:trHeight w:val="127"/>
        </w:trPr>
        <w:tc>
          <w:tcPr>
            <w:tcW w:w="1469" w:type="dxa"/>
            <w:vMerge/>
          </w:tcPr>
          <w:p w:rsidR="00F65723" w:rsidRPr="004C6789" w:rsidRDefault="00F65723" w:rsidP="001049F3">
            <w:pPr>
              <w:tabs>
                <w:tab w:val="left" w:pos="428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F65723" w:rsidRPr="004C6789" w:rsidRDefault="00F65723" w:rsidP="001049F3">
            <w:pPr>
              <w:tabs>
                <w:tab w:val="left" w:pos="428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5723" w:rsidRPr="004C6789" w:rsidRDefault="00F65723" w:rsidP="001049F3">
            <w:pPr>
              <w:tabs>
                <w:tab w:val="left" w:pos="428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F65723" w:rsidRPr="004C6789" w:rsidRDefault="00F65723" w:rsidP="001049F3">
            <w:pPr>
              <w:tabs>
                <w:tab w:val="left" w:pos="4287"/>
              </w:tabs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Районний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(50%)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F65723" w:rsidRPr="004C6789" w:rsidRDefault="00F65723" w:rsidP="001049F3">
            <w:pPr>
              <w:tabs>
                <w:tab w:val="left" w:pos="42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Сільський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(25%)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65723" w:rsidRPr="004C6789" w:rsidRDefault="00F65723" w:rsidP="001049F3">
            <w:pPr>
              <w:tabs>
                <w:tab w:val="left" w:pos="428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ОТГ (75%)</w:t>
            </w:r>
          </w:p>
        </w:tc>
        <w:tc>
          <w:tcPr>
            <w:tcW w:w="1983" w:type="dxa"/>
            <w:vMerge/>
          </w:tcPr>
          <w:p w:rsidR="00F65723" w:rsidRPr="004C6789" w:rsidRDefault="00F65723" w:rsidP="001049F3">
            <w:pPr>
              <w:tabs>
                <w:tab w:val="left" w:pos="428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723" w:rsidRPr="004C6789" w:rsidTr="00267E28">
        <w:trPr>
          <w:trHeight w:val="1215"/>
        </w:trPr>
        <w:tc>
          <w:tcPr>
            <w:tcW w:w="1469" w:type="dxa"/>
            <w:tcBorders>
              <w:bottom w:val="single" w:sz="4" w:space="0" w:color="auto"/>
            </w:tcBorders>
          </w:tcPr>
          <w:p w:rsidR="00F65723" w:rsidRPr="004C6789" w:rsidRDefault="00F65723" w:rsidP="001049F3">
            <w:pPr>
              <w:tabs>
                <w:tab w:val="left" w:pos="42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63183"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19.12.2019</w:t>
            </w: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. №741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F65723" w:rsidRPr="004C6789" w:rsidRDefault="00F65723" w:rsidP="001049F3">
            <w:pPr>
              <w:tabs>
                <w:tab w:val="left" w:pos="428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5723" w:rsidRPr="004C6789" w:rsidRDefault="00F65723" w:rsidP="007E6580">
            <w:pPr>
              <w:tabs>
                <w:tab w:val="left" w:pos="42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Єленич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F65723" w:rsidRPr="004C6789" w:rsidRDefault="00F65723" w:rsidP="001049F3">
            <w:pPr>
              <w:tabs>
                <w:tab w:val="left" w:pos="42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:rsidR="00F65723" w:rsidRPr="004C6789" w:rsidRDefault="00F65723" w:rsidP="001049F3">
            <w:pPr>
              <w:tabs>
                <w:tab w:val="left" w:pos="42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F65723" w:rsidRPr="004C6789" w:rsidRDefault="00F65723" w:rsidP="001049F3">
            <w:pPr>
              <w:tabs>
                <w:tab w:val="left" w:pos="4287"/>
              </w:tabs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22800,00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65723" w:rsidRPr="004C6789" w:rsidRDefault="00F65723" w:rsidP="001049F3">
            <w:pPr>
              <w:tabs>
                <w:tab w:val="left" w:pos="42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ІІІ, IV курс</w:t>
            </w:r>
          </w:p>
          <w:p w:rsidR="00F65723" w:rsidRPr="004C6789" w:rsidRDefault="00F65723" w:rsidP="001049F3">
            <w:pPr>
              <w:tabs>
                <w:tab w:val="left" w:pos="42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2020-2021</w:t>
            </w:r>
          </w:p>
          <w:p w:rsidR="00F65723" w:rsidRPr="004C6789" w:rsidRDefault="00F65723" w:rsidP="001049F3">
            <w:pPr>
              <w:tabs>
                <w:tab w:val="left" w:pos="42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2021-2022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768B5" w:rsidRPr="004C6789" w:rsidRDefault="00F768B5" w:rsidP="001049F3">
            <w:pPr>
              <w:tabs>
                <w:tab w:val="left" w:pos="42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68B5" w:rsidRPr="004C6789" w:rsidTr="00267E28">
        <w:trPr>
          <w:trHeight w:val="426"/>
        </w:trPr>
        <w:tc>
          <w:tcPr>
            <w:tcW w:w="1469" w:type="dxa"/>
            <w:tcBorders>
              <w:top w:val="single" w:sz="4" w:space="0" w:color="auto"/>
            </w:tcBorders>
          </w:tcPr>
          <w:p w:rsidR="00F768B5" w:rsidRPr="004C6789" w:rsidRDefault="00F768B5" w:rsidP="001049F3">
            <w:pPr>
              <w:tabs>
                <w:tab w:val="left" w:pos="42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19</w:t>
            </w: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р. №</w:t>
            </w: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F768B5" w:rsidRPr="004C6789" w:rsidRDefault="00F768B5" w:rsidP="001049F3">
            <w:pPr>
              <w:tabs>
                <w:tab w:val="left" w:pos="428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Адміністрування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768B5" w:rsidRPr="004C6789" w:rsidRDefault="00F768B5" w:rsidP="007E6580">
            <w:pPr>
              <w:tabs>
                <w:tab w:val="left" w:pos="42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Шпилєвий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Олександр Сергійович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F768B5" w:rsidRPr="004C6789" w:rsidRDefault="00F768B5" w:rsidP="001049F3">
            <w:pPr>
              <w:tabs>
                <w:tab w:val="left" w:pos="42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right w:val="single" w:sz="4" w:space="0" w:color="auto"/>
            </w:tcBorders>
          </w:tcPr>
          <w:p w:rsidR="00F768B5" w:rsidRPr="004C6789" w:rsidRDefault="00F768B5" w:rsidP="001049F3">
            <w:pPr>
              <w:tabs>
                <w:tab w:val="left" w:pos="42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F768B5" w:rsidRPr="004C6789" w:rsidRDefault="00F768B5" w:rsidP="001049F3">
            <w:pPr>
              <w:tabs>
                <w:tab w:val="left" w:pos="4287"/>
              </w:tabs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6789">
              <w:rPr>
                <w:rFonts w:ascii="Times New Roman" w:hAnsi="Times New Roman"/>
                <w:sz w:val="24"/>
                <w:szCs w:val="24"/>
                <w:lang w:val="uk-UA"/>
              </w:rPr>
              <w:t>15418,00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F768B5" w:rsidRPr="004C6789" w:rsidRDefault="00F768B5" w:rsidP="001049F3">
            <w:pPr>
              <w:tabs>
                <w:tab w:val="left" w:pos="42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заборгованості за І та ІІ курс</w:t>
            </w:r>
          </w:p>
          <w:p w:rsidR="00F768B5" w:rsidRPr="004C6789" w:rsidRDefault="00F768B5" w:rsidP="001049F3">
            <w:pPr>
              <w:tabs>
                <w:tab w:val="left" w:pos="42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2018-2019</w:t>
            </w:r>
          </w:p>
          <w:p w:rsidR="00F768B5" w:rsidRPr="004C6789" w:rsidRDefault="00F768B5" w:rsidP="001049F3">
            <w:pPr>
              <w:tabs>
                <w:tab w:val="left" w:pos="42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2019-2020 </w:t>
            </w: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65723" w:rsidRPr="004C6789" w:rsidTr="00267E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447" w:type="dxa"/>
            <w:gridSpan w:val="5"/>
          </w:tcPr>
          <w:p w:rsidR="00F65723" w:rsidRPr="004C6789" w:rsidRDefault="00F65723" w:rsidP="001049F3">
            <w:pPr>
              <w:tabs>
                <w:tab w:val="lef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5" w:type="dxa"/>
          </w:tcPr>
          <w:p w:rsidR="00F65723" w:rsidRPr="004C6789" w:rsidRDefault="00F768B5" w:rsidP="001049F3">
            <w:pPr>
              <w:tabs>
                <w:tab w:val="left" w:pos="9355"/>
              </w:tabs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38218,00</w:t>
            </w:r>
          </w:p>
        </w:tc>
        <w:tc>
          <w:tcPr>
            <w:tcW w:w="1983" w:type="dxa"/>
          </w:tcPr>
          <w:p w:rsidR="00F65723" w:rsidRPr="004C6789" w:rsidRDefault="00F65723" w:rsidP="001049F3">
            <w:pPr>
              <w:tabs>
                <w:tab w:val="lef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5723" w:rsidRPr="004C6789" w:rsidRDefault="00F65723" w:rsidP="00F65723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723" w:rsidRPr="004C6789" w:rsidRDefault="00F65723" w:rsidP="00F6572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bookmarkEnd w:id="0"/>
    <w:p w:rsidR="003A547D" w:rsidRPr="004C6789" w:rsidRDefault="003A547D">
      <w:pPr>
        <w:rPr>
          <w:sz w:val="24"/>
          <w:szCs w:val="24"/>
          <w:lang w:val="uk-UA"/>
        </w:rPr>
      </w:pPr>
    </w:p>
    <w:sectPr w:rsidR="003A547D" w:rsidRPr="004C6789" w:rsidSect="00D5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F168E"/>
    <w:multiLevelType w:val="hybridMultilevel"/>
    <w:tmpl w:val="EBC479F0"/>
    <w:lvl w:ilvl="0" w:tplc="44700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789B"/>
    <w:rsid w:val="001830DA"/>
    <w:rsid w:val="001A0210"/>
    <w:rsid w:val="00263183"/>
    <w:rsid w:val="00267E28"/>
    <w:rsid w:val="00304021"/>
    <w:rsid w:val="003A547D"/>
    <w:rsid w:val="004C6789"/>
    <w:rsid w:val="00656F65"/>
    <w:rsid w:val="007E6580"/>
    <w:rsid w:val="0081203F"/>
    <w:rsid w:val="008972AC"/>
    <w:rsid w:val="00995AC3"/>
    <w:rsid w:val="00A03BEE"/>
    <w:rsid w:val="00B3789B"/>
    <w:rsid w:val="00D41280"/>
    <w:rsid w:val="00D558C4"/>
    <w:rsid w:val="00DC40C9"/>
    <w:rsid w:val="00EB6323"/>
    <w:rsid w:val="00F65723"/>
    <w:rsid w:val="00F7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4A135-F670-4FB7-A89B-C3AD511E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B3789B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3A547D"/>
    <w:pPr>
      <w:ind w:left="720"/>
      <w:contextualSpacing/>
    </w:pPr>
  </w:style>
  <w:style w:type="paragraph" w:styleId="a4">
    <w:name w:val="No Spacing"/>
    <w:uiPriority w:val="1"/>
    <w:qFormat/>
    <w:rsid w:val="008972AC"/>
    <w:pPr>
      <w:spacing w:after="0" w:line="240" w:lineRule="auto"/>
    </w:pPr>
  </w:style>
  <w:style w:type="table" w:styleId="a5">
    <w:name w:val="Table Grid"/>
    <w:basedOn w:val="a1"/>
    <w:uiPriority w:val="39"/>
    <w:rsid w:val="00F657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6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6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24</cp:revision>
  <cp:lastPrinted>2021-02-01T14:41:00Z</cp:lastPrinted>
  <dcterms:created xsi:type="dcterms:W3CDTF">2021-01-12T13:18:00Z</dcterms:created>
  <dcterms:modified xsi:type="dcterms:W3CDTF">2021-02-01T14:41:00Z</dcterms:modified>
</cp:coreProperties>
</file>